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20461" w14:textId="77777777" w:rsidR="003A6FB8" w:rsidRDefault="003A6FB8">
      <w:pPr>
        <w:rPr>
          <w:rFonts w:ascii="Times New Roman" w:eastAsia="Times New Roman" w:hAnsi="Times New Roman" w:cs="Times New Roman"/>
          <w:sz w:val="20"/>
          <w:szCs w:val="20"/>
        </w:rPr>
      </w:pPr>
    </w:p>
    <w:p w14:paraId="58B1A99C" w14:textId="77777777" w:rsidR="003A6FB8" w:rsidRDefault="001E2371">
      <w:pPr>
        <w:spacing w:before="53"/>
        <w:ind w:left="100"/>
        <w:jc w:val="both"/>
        <w:rPr>
          <w:rFonts w:ascii="Times New Roman" w:eastAsia="Times New Roman" w:hAnsi="Times New Roman" w:cs="Times New Roman"/>
          <w:sz w:val="24"/>
          <w:szCs w:val="24"/>
        </w:rPr>
      </w:pPr>
      <w:r>
        <w:rPr>
          <w:rFonts w:ascii="Times New Roman"/>
          <w:b/>
          <w:sz w:val="24"/>
        </w:rPr>
        <w:t>What</w:t>
      </w:r>
      <w:r>
        <w:rPr>
          <w:rFonts w:ascii="Times New Roman"/>
          <w:b/>
          <w:spacing w:val="-25"/>
          <w:sz w:val="24"/>
        </w:rPr>
        <w:t xml:space="preserve"> </w:t>
      </w:r>
      <w:r>
        <w:rPr>
          <w:rFonts w:ascii="Times New Roman"/>
          <w:b/>
          <w:sz w:val="24"/>
        </w:rPr>
        <w:t>are</w:t>
      </w:r>
      <w:r>
        <w:rPr>
          <w:rFonts w:ascii="Times New Roman"/>
          <w:b/>
          <w:spacing w:val="-25"/>
          <w:sz w:val="24"/>
        </w:rPr>
        <w:t xml:space="preserve"> </w:t>
      </w:r>
      <w:r>
        <w:rPr>
          <w:rFonts w:ascii="Times New Roman"/>
          <w:b/>
          <w:sz w:val="24"/>
        </w:rPr>
        <w:t>the</w:t>
      </w:r>
      <w:r>
        <w:rPr>
          <w:rFonts w:ascii="Times New Roman"/>
          <w:b/>
          <w:spacing w:val="-25"/>
          <w:sz w:val="24"/>
        </w:rPr>
        <w:t xml:space="preserve"> </w:t>
      </w:r>
      <w:r>
        <w:rPr>
          <w:rFonts w:ascii="Times New Roman"/>
          <w:b/>
          <w:sz w:val="24"/>
        </w:rPr>
        <w:t>differences</w:t>
      </w:r>
      <w:r>
        <w:rPr>
          <w:rFonts w:ascii="Times New Roman"/>
          <w:b/>
          <w:spacing w:val="-25"/>
          <w:sz w:val="24"/>
        </w:rPr>
        <w:t xml:space="preserve"> </w:t>
      </w:r>
      <w:r>
        <w:rPr>
          <w:rFonts w:ascii="Times New Roman"/>
          <w:b/>
          <w:sz w:val="24"/>
        </w:rPr>
        <w:t>between</w:t>
      </w:r>
      <w:r>
        <w:rPr>
          <w:rFonts w:ascii="Times New Roman"/>
          <w:b/>
          <w:spacing w:val="-25"/>
          <w:sz w:val="24"/>
        </w:rPr>
        <w:t xml:space="preserve"> </w:t>
      </w:r>
      <w:r>
        <w:rPr>
          <w:rFonts w:ascii="Times New Roman"/>
          <w:b/>
          <w:sz w:val="24"/>
        </w:rPr>
        <w:t>access</w:t>
      </w:r>
      <w:r>
        <w:rPr>
          <w:rFonts w:ascii="Times New Roman"/>
          <w:b/>
          <w:spacing w:val="-25"/>
          <w:sz w:val="24"/>
        </w:rPr>
        <w:t xml:space="preserve"> </w:t>
      </w:r>
      <w:r>
        <w:rPr>
          <w:rFonts w:ascii="Times New Roman"/>
          <w:b/>
          <w:sz w:val="24"/>
        </w:rPr>
        <w:t>rights</w:t>
      </w:r>
      <w:r>
        <w:rPr>
          <w:rFonts w:ascii="Times New Roman"/>
          <w:b/>
          <w:spacing w:val="-25"/>
          <w:sz w:val="24"/>
        </w:rPr>
        <w:t xml:space="preserve"> </w:t>
      </w:r>
      <w:r>
        <w:rPr>
          <w:rFonts w:ascii="Times New Roman"/>
          <w:b/>
          <w:sz w:val="24"/>
        </w:rPr>
        <w:t>and</w:t>
      </w:r>
      <w:r>
        <w:rPr>
          <w:rFonts w:ascii="Times New Roman"/>
          <w:b/>
          <w:spacing w:val="-25"/>
          <w:sz w:val="24"/>
        </w:rPr>
        <w:t xml:space="preserve"> </w:t>
      </w:r>
      <w:r>
        <w:rPr>
          <w:rFonts w:ascii="Times New Roman"/>
          <w:b/>
          <w:sz w:val="24"/>
        </w:rPr>
        <w:t>custody</w:t>
      </w:r>
      <w:r>
        <w:rPr>
          <w:rFonts w:ascii="Times New Roman"/>
          <w:b/>
          <w:spacing w:val="-25"/>
          <w:sz w:val="24"/>
        </w:rPr>
        <w:t xml:space="preserve"> </w:t>
      </w:r>
      <w:r>
        <w:rPr>
          <w:rFonts w:ascii="Times New Roman"/>
          <w:b/>
          <w:sz w:val="24"/>
        </w:rPr>
        <w:t>rights?</w:t>
      </w:r>
    </w:p>
    <w:p w14:paraId="32C4A19C" w14:textId="6BFA5EE6" w:rsidR="003A6FB8" w:rsidRDefault="001E2371">
      <w:pPr>
        <w:pStyle w:val="BodyText"/>
        <w:spacing w:before="122" w:line="242" w:lineRule="auto"/>
        <w:ind w:right="117"/>
        <w:jc w:val="both"/>
      </w:pPr>
      <w:r>
        <w:t xml:space="preserve">A person with only access rights (the equivalent of “visitation rights”) cannot maintain a petition for the return of a child. </w:t>
      </w:r>
      <w:r w:rsidR="00376816">
        <w:t>Only parents with rights of custody to the child may petition for the return of an abducted child.</w:t>
      </w:r>
      <w:r w:rsidR="00376816">
        <w:rPr>
          <w:position w:val="8"/>
          <w:sz w:val="14"/>
          <w:szCs w:val="14"/>
        </w:rPr>
        <w:t xml:space="preserve">1 </w:t>
      </w:r>
      <w:r w:rsidR="00376816">
        <w:t>For example, the law of a country might pro- vide that an unmarried father has no custody rights to the child. If the mother were to relocate to another country without father’s permission, father could not maintain an action for return of the child because the law of the child’s habitual residence does not confer custody rights on the</w:t>
      </w:r>
      <w:r w:rsidR="00376816">
        <w:rPr>
          <w:spacing w:val="4"/>
        </w:rPr>
        <w:t xml:space="preserve"> </w:t>
      </w:r>
      <w:r w:rsidR="00376816">
        <w:t>father.</w:t>
      </w:r>
    </w:p>
    <w:p w14:paraId="3C78B2A4" w14:textId="77777777" w:rsidR="003A6FB8" w:rsidRDefault="001E2371">
      <w:pPr>
        <w:pStyle w:val="BodyText"/>
        <w:spacing w:before="124" w:line="242" w:lineRule="auto"/>
        <w:ind w:right="117"/>
        <w:jc w:val="both"/>
      </w:pPr>
      <w:r>
        <w:rPr>
          <w:rFonts w:cs="Times New Roman"/>
          <w:b/>
          <w:bCs/>
          <w:i/>
        </w:rPr>
        <w:t xml:space="preserve">Ne Exeat </w:t>
      </w:r>
      <w:r>
        <w:rPr>
          <w:rFonts w:cs="Times New Roman"/>
          <w:b/>
          <w:bCs/>
        </w:rPr>
        <w:t xml:space="preserve">Clauses. </w:t>
      </w:r>
      <w:r>
        <w:t xml:space="preserve">In 2010, the Supreme Court held in </w:t>
      </w:r>
      <w:r>
        <w:rPr>
          <w:rFonts w:cs="Times New Roman"/>
          <w:i/>
        </w:rPr>
        <w:t>Abbot v. Abbot</w:t>
      </w:r>
      <w:r>
        <w:rPr>
          <w:position w:val="8"/>
          <w:sz w:val="14"/>
          <w:szCs w:val="14"/>
        </w:rPr>
        <w:t xml:space="preserve">2 </w:t>
      </w:r>
      <w:r>
        <w:t xml:space="preserve">that a parent with visitation rights coupled with a </w:t>
      </w:r>
      <w:r>
        <w:rPr>
          <w:rFonts w:cs="Times New Roman"/>
          <w:i/>
        </w:rPr>
        <w:t>ne exeat</w:t>
      </w:r>
      <w:r>
        <w:rPr>
          <w:position w:val="8"/>
          <w:sz w:val="14"/>
          <w:szCs w:val="14"/>
        </w:rPr>
        <w:t xml:space="preserve">3 </w:t>
      </w:r>
      <w:r>
        <w:t>order confers a right of custody for a left-behind parent, entitling that parent to maintain an action for the return of a child. The Court found that the Convention’s definition of custody rights in Article 5</w:t>
      </w:r>
      <w:r>
        <w:rPr>
          <w:position w:val="8"/>
          <w:sz w:val="14"/>
          <w:szCs w:val="14"/>
        </w:rPr>
        <w:t xml:space="preserve">4 </w:t>
      </w:r>
      <w:r>
        <w:t xml:space="preserve">included a </w:t>
      </w:r>
      <w:r>
        <w:rPr>
          <w:rFonts w:cs="Times New Roman"/>
          <w:i/>
        </w:rPr>
        <w:t xml:space="preserve">ne exeat </w:t>
      </w:r>
      <w:r>
        <w:t xml:space="preserve">clause because a </w:t>
      </w:r>
      <w:r>
        <w:rPr>
          <w:rFonts w:cs="Times New Roman"/>
          <w:i/>
        </w:rPr>
        <w:t xml:space="preserve">ne exeat </w:t>
      </w:r>
      <w:r>
        <w:t xml:space="preserve">clause related to the right to determine the place where a child lives, and as such it bears on “the care of the person of the child.” The Chilean </w:t>
      </w:r>
      <w:r>
        <w:rPr>
          <w:rFonts w:cs="Times New Roman"/>
          <w:i/>
        </w:rPr>
        <w:t xml:space="preserve">ne exeat </w:t>
      </w:r>
      <w:r>
        <w:t xml:space="preserve">clause in </w:t>
      </w:r>
      <w:r>
        <w:rPr>
          <w:rFonts w:cs="Times New Roman"/>
          <w:i/>
        </w:rPr>
        <w:t xml:space="preserve">Abbott </w:t>
      </w:r>
      <w:r>
        <w:t>conferred a right to determine the child’s country of residence. Because neither parent could unilaterally establish the place of the child’s residence, they held a joint right of custody—and hence enforceable rights under the</w:t>
      </w:r>
      <w:r>
        <w:rPr>
          <w:spacing w:val="33"/>
        </w:rPr>
        <w:t xml:space="preserve"> </w:t>
      </w:r>
      <w:r>
        <w:t>Convention.</w:t>
      </w:r>
    </w:p>
    <w:p w14:paraId="7D6A16AA" w14:textId="4A21058F" w:rsidR="003A6FB8" w:rsidRDefault="001E2371">
      <w:pPr>
        <w:pStyle w:val="BodyText"/>
        <w:spacing w:before="124" w:line="242" w:lineRule="auto"/>
        <w:ind w:right="117" w:firstLine="720"/>
        <w:jc w:val="both"/>
        <w:rPr>
          <w:sz w:val="14"/>
          <w:szCs w:val="14"/>
        </w:rPr>
      </w:pPr>
      <w:r>
        <w:t xml:space="preserve">The </w:t>
      </w:r>
      <w:r>
        <w:rPr>
          <w:rFonts w:cs="Times New Roman"/>
          <w:i/>
        </w:rPr>
        <w:t xml:space="preserve">Abbott </w:t>
      </w:r>
      <w:r>
        <w:t xml:space="preserve">Court declined to address whether a restraining order that did not contain a “parental consent” provision—e.g., simply an order restraining the removal of a child from a state or country, would form the basis for </w:t>
      </w:r>
      <w:r w:rsidR="00FB7283">
        <w:t xml:space="preserve">a custody right. The Court did </w:t>
      </w:r>
      <w:r>
        <w:t xml:space="preserve">note in dictum that such an order might confer custody rights, stating that “Even a </w:t>
      </w:r>
      <w:r>
        <w:rPr>
          <w:rFonts w:cs="Times New Roman"/>
          <w:i/>
        </w:rPr>
        <w:t xml:space="preserve">ne ex- eat </w:t>
      </w:r>
      <w:r>
        <w:t>order issued to protect a court’s jurisdiction pending issuance of further decrees is consistent with allowing a parent to object to the child’s removal from the</w:t>
      </w:r>
      <w:r>
        <w:rPr>
          <w:spacing w:val="-30"/>
        </w:rPr>
        <w:t xml:space="preserve"> </w:t>
      </w:r>
      <w:r>
        <w:t>country.”</w:t>
      </w:r>
      <w:r>
        <w:rPr>
          <w:position w:val="8"/>
          <w:sz w:val="14"/>
          <w:szCs w:val="14"/>
        </w:rPr>
        <w:t>5</w:t>
      </w:r>
    </w:p>
    <w:p w14:paraId="69F476D5" w14:textId="04F39504" w:rsidR="003A6FB8" w:rsidRDefault="001E2371">
      <w:pPr>
        <w:pStyle w:val="BodyText"/>
        <w:spacing w:before="124" w:line="242" w:lineRule="auto"/>
        <w:ind w:right="117" w:firstLine="720"/>
        <w:jc w:val="both"/>
        <w:rPr>
          <w:sz w:val="14"/>
          <w:szCs w:val="14"/>
        </w:rPr>
      </w:pPr>
      <w:r>
        <w:t>Some states routinely grant orders restraining the removal of a child from the state. California law provides for the automatic issuance of</w:t>
      </w:r>
      <w:r w:rsidR="00FB7283">
        <w:t xml:space="preserve"> an order restraining both par</w:t>
      </w:r>
      <w:r>
        <w:t>ties from removing the minor child or children upon the issuance of a summons, unless the other parent has given prior written consent or the co</w:t>
      </w:r>
      <w:r w:rsidR="00FB7283">
        <w:t>urt has issued an order permit</w:t>
      </w:r>
      <w:r>
        <w:t>ting the</w:t>
      </w:r>
      <w:r>
        <w:rPr>
          <w:spacing w:val="-1"/>
        </w:rPr>
        <w:t xml:space="preserve"> </w:t>
      </w:r>
      <w:r>
        <w:t>removal.</w:t>
      </w:r>
      <w:r>
        <w:rPr>
          <w:position w:val="8"/>
          <w:sz w:val="14"/>
        </w:rPr>
        <w:t>6</w:t>
      </w:r>
    </w:p>
    <w:p w14:paraId="627FCBFA" w14:textId="77777777" w:rsidR="003A6FB8" w:rsidRDefault="003A6FB8">
      <w:pPr>
        <w:spacing w:before="2"/>
        <w:rPr>
          <w:rFonts w:ascii="Times New Roman" w:eastAsia="Times New Roman" w:hAnsi="Times New Roman" w:cs="Times New Roman"/>
          <w:sz w:val="19"/>
          <w:szCs w:val="19"/>
        </w:rPr>
      </w:pPr>
    </w:p>
    <w:p w14:paraId="5BC126A9" w14:textId="77777777" w:rsidR="003A6FB8" w:rsidRDefault="001E2371">
      <w:pPr>
        <w:pStyle w:val="BodyText"/>
        <w:spacing w:line="242" w:lineRule="auto"/>
        <w:ind w:right="117"/>
        <w:jc w:val="both"/>
        <w:rPr>
          <w:sz w:val="14"/>
          <w:szCs w:val="14"/>
        </w:rPr>
      </w:pPr>
      <w:r>
        <w:rPr>
          <w:b/>
        </w:rPr>
        <w:t xml:space="preserve">Patria Potestas. </w:t>
      </w:r>
      <w:r>
        <w:rPr>
          <w:i/>
        </w:rPr>
        <w:t xml:space="preserve">Patria potestas </w:t>
      </w:r>
      <w:r>
        <w:t>is a concept under civil law jurisdictions, principally Mexico and other Central and South American nations, that includes custody and rights  to raise, care for, discipline, and represent their children in legal matters.</w:t>
      </w:r>
      <w:r>
        <w:rPr>
          <w:position w:val="8"/>
          <w:sz w:val="14"/>
        </w:rPr>
        <w:t xml:space="preserve">7 </w:t>
      </w:r>
      <w:r>
        <w:t xml:space="preserve">A person with </w:t>
      </w:r>
      <w:r>
        <w:rPr>
          <w:i/>
        </w:rPr>
        <w:t xml:space="preserve">patria potestas </w:t>
      </w:r>
      <w:r>
        <w:t>has custody rights under the</w:t>
      </w:r>
      <w:r>
        <w:rPr>
          <w:spacing w:val="-10"/>
        </w:rPr>
        <w:t xml:space="preserve"> </w:t>
      </w:r>
      <w:r>
        <w:t>Convention.</w:t>
      </w:r>
      <w:r>
        <w:rPr>
          <w:position w:val="8"/>
          <w:sz w:val="14"/>
        </w:rPr>
        <w:t>8</w:t>
      </w:r>
    </w:p>
    <w:p w14:paraId="1BF5105E" w14:textId="77777777" w:rsidR="003A6FB8" w:rsidRDefault="001E2371">
      <w:pPr>
        <w:pStyle w:val="BodyText"/>
        <w:spacing w:before="119" w:line="244" w:lineRule="auto"/>
        <w:ind w:right="117" w:firstLine="720"/>
        <w:jc w:val="both"/>
        <w:rPr>
          <w:sz w:val="14"/>
          <w:szCs w:val="14"/>
        </w:rPr>
      </w:pPr>
      <w:r>
        <w:t>The Ninth Circuit</w:t>
      </w:r>
      <w:r>
        <w:rPr>
          <w:position w:val="8"/>
          <w:sz w:val="14"/>
        </w:rPr>
        <w:t xml:space="preserve">9 </w:t>
      </w:r>
      <w:r>
        <w:t xml:space="preserve">has narrowly drawn an exception to finding rights of custody pursuant to </w:t>
      </w:r>
      <w:r>
        <w:rPr>
          <w:i/>
        </w:rPr>
        <w:t>Patria Potesta</w:t>
      </w:r>
      <w:r>
        <w:t xml:space="preserve">s when the parties have a custody agreement that contains  terms that are inconsistent with the concept of </w:t>
      </w:r>
      <w:r>
        <w:rPr>
          <w:i/>
        </w:rPr>
        <w:t>Patria Potestas</w:t>
      </w:r>
      <w:r>
        <w:t xml:space="preserve">. Additionally, courts have refused to find </w:t>
      </w:r>
      <w:r>
        <w:rPr>
          <w:i/>
        </w:rPr>
        <w:t xml:space="preserve">Patria Potestas </w:t>
      </w:r>
      <w:r>
        <w:t>rights where a parent relinquishes those rights in a court decree.</w:t>
      </w:r>
      <w:r>
        <w:rPr>
          <w:position w:val="8"/>
          <w:sz w:val="14"/>
        </w:rPr>
        <w:t>10</w:t>
      </w:r>
    </w:p>
    <w:p w14:paraId="23819A00" w14:textId="77777777" w:rsidR="003A6FB8" w:rsidRDefault="003A6FB8">
      <w:pPr>
        <w:rPr>
          <w:rFonts w:ascii="Times New Roman" w:eastAsia="Times New Roman" w:hAnsi="Times New Roman" w:cs="Times New Roman"/>
          <w:sz w:val="24"/>
          <w:szCs w:val="24"/>
        </w:rPr>
      </w:pPr>
    </w:p>
    <w:p w14:paraId="3DFDC027" w14:textId="77777777" w:rsidR="003A6FB8" w:rsidRDefault="003A6FB8">
      <w:pPr>
        <w:spacing w:before="1"/>
        <w:rPr>
          <w:rFonts w:ascii="Times New Roman" w:eastAsia="Times New Roman" w:hAnsi="Times New Roman" w:cs="Times New Roman"/>
          <w:sz w:val="23"/>
          <w:szCs w:val="23"/>
        </w:rPr>
      </w:pPr>
    </w:p>
    <w:p w14:paraId="4AC15CF4" w14:textId="77777777" w:rsidR="003A6FB8" w:rsidRDefault="001E2371">
      <w:pPr>
        <w:pStyle w:val="BodyText"/>
        <w:jc w:val="both"/>
        <w:rPr>
          <w:rFonts w:ascii="Arial"/>
          <w:w w:val="79"/>
        </w:rPr>
      </w:pPr>
      <w:r>
        <w:rPr>
          <w:rFonts w:ascii="Arial"/>
          <w:strike/>
          <w:w w:val="79"/>
        </w:rPr>
        <w:t xml:space="preserve">                                       </w:t>
      </w:r>
      <w:r>
        <w:rPr>
          <w:rFonts w:ascii="Arial"/>
          <w:strike/>
          <w:spacing w:val="-2"/>
          <w:w w:val="79"/>
        </w:rPr>
        <w:t xml:space="preserve"> </w:t>
      </w:r>
      <w:r>
        <w:rPr>
          <w:rFonts w:ascii="Arial"/>
          <w:strike/>
          <w:w w:val="79"/>
        </w:rPr>
        <w:t xml:space="preserve">             </w:t>
      </w:r>
      <w:r>
        <w:rPr>
          <w:rFonts w:ascii="Arial"/>
          <w:strike/>
          <w:spacing w:val="-1"/>
          <w:w w:val="79"/>
        </w:rPr>
        <w:t xml:space="preserve"> </w:t>
      </w:r>
      <w:r>
        <w:rPr>
          <w:rFonts w:ascii="Arial"/>
          <w:spacing w:val="-24"/>
          <w:w w:val="79"/>
        </w:rPr>
        <w:t xml:space="preserve"> </w:t>
      </w:r>
      <w:r>
        <w:rPr>
          <w:rFonts w:ascii="Arial"/>
          <w:w w:val="79"/>
        </w:rPr>
        <w:t xml:space="preserve"> </w:t>
      </w:r>
    </w:p>
    <w:p w14:paraId="7717CCBC" w14:textId="77777777" w:rsidR="00224843" w:rsidRDefault="00224843" w:rsidP="00224843">
      <w:pPr>
        <w:pStyle w:val="ListParagraph"/>
        <w:numPr>
          <w:ilvl w:val="0"/>
          <w:numId w:val="2"/>
        </w:numPr>
        <w:tabs>
          <w:tab w:val="left" w:pos="647"/>
        </w:tabs>
        <w:spacing w:before="16" w:line="264" w:lineRule="auto"/>
        <w:ind w:right="698"/>
        <w:rPr>
          <w:rFonts w:ascii="Times New Roman" w:eastAsia="Times New Roman" w:hAnsi="Times New Roman" w:cs="Times New Roman"/>
          <w:sz w:val="19"/>
          <w:szCs w:val="19"/>
        </w:rPr>
      </w:pPr>
      <w:r>
        <w:rPr>
          <w:rFonts w:ascii="Times New Roman"/>
          <w:i/>
          <w:w w:val="105"/>
          <w:sz w:val="19"/>
        </w:rPr>
        <w:t>See,</w:t>
      </w:r>
      <w:r>
        <w:rPr>
          <w:rFonts w:ascii="Times New Roman"/>
          <w:i/>
          <w:spacing w:val="-11"/>
          <w:w w:val="105"/>
          <w:sz w:val="19"/>
        </w:rPr>
        <w:t xml:space="preserve"> </w:t>
      </w:r>
      <w:r>
        <w:rPr>
          <w:rFonts w:ascii="Times New Roman"/>
          <w:i/>
          <w:w w:val="105"/>
          <w:sz w:val="19"/>
        </w:rPr>
        <w:t>e.g.,</w:t>
      </w:r>
      <w:r>
        <w:rPr>
          <w:rFonts w:ascii="Times New Roman"/>
          <w:i/>
          <w:spacing w:val="-12"/>
          <w:w w:val="105"/>
          <w:sz w:val="19"/>
        </w:rPr>
        <w:t xml:space="preserve"> </w:t>
      </w:r>
      <w:r>
        <w:rPr>
          <w:rFonts w:ascii="Times New Roman"/>
          <w:w w:val="105"/>
          <w:sz w:val="19"/>
        </w:rPr>
        <w:t>Viragh</w:t>
      </w:r>
      <w:r>
        <w:rPr>
          <w:rFonts w:ascii="Times New Roman"/>
          <w:spacing w:val="-11"/>
          <w:w w:val="105"/>
          <w:sz w:val="19"/>
        </w:rPr>
        <w:t xml:space="preserve"> </w:t>
      </w:r>
      <w:r>
        <w:rPr>
          <w:rFonts w:ascii="Times New Roman"/>
          <w:w w:val="105"/>
          <w:sz w:val="19"/>
        </w:rPr>
        <w:t>v.</w:t>
      </w:r>
      <w:r>
        <w:rPr>
          <w:rFonts w:ascii="Times New Roman"/>
          <w:spacing w:val="-12"/>
          <w:w w:val="105"/>
          <w:sz w:val="19"/>
        </w:rPr>
        <w:t xml:space="preserve"> </w:t>
      </w:r>
      <w:r>
        <w:rPr>
          <w:rFonts w:ascii="Times New Roman"/>
          <w:w w:val="105"/>
          <w:sz w:val="19"/>
        </w:rPr>
        <w:t>Foldes,</w:t>
      </w:r>
      <w:r>
        <w:rPr>
          <w:rFonts w:ascii="Times New Roman"/>
          <w:spacing w:val="-12"/>
          <w:w w:val="105"/>
          <w:sz w:val="19"/>
        </w:rPr>
        <w:t xml:space="preserve"> </w:t>
      </w:r>
      <w:r>
        <w:rPr>
          <w:rFonts w:ascii="Times New Roman"/>
          <w:w w:val="105"/>
          <w:sz w:val="19"/>
        </w:rPr>
        <w:t>612</w:t>
      </w:r>
      <w:r>
        <w:rPr>
          <w:rFonts w:ascii="Times New Roman"/>
          <w:spacing w:val="-11"/>
          <w:w w:val="105"/>
          <w:sz w:val="19"/>
        </w:rPr>
        <w:t xml:space="preserve"> </w:t>
      </w:r>
      <w:r>
        <w:rPr>
          <w:rFonts w:ascii="Times New Roman"/>
          <w:w w:val="105"/>
          <w:sz w:val="19"/>
        </w:rPr>
        <w:t>N.E.2d</w:t>
      </w:r>
      <w:r>
        <w:rPr>
          <w:rFonts w:ascii="Times New Roman"/>
          <w:spacing w:val="-11"/>
          <w:w w:val="105"/>
          <w:sz w:val="19"/>
        </w:rPr>
        <w:t xml:space="preserve"> </w:t>
      </w:r>
      <w:r>
        <w:rPr>
          <w:rFonts w:ascii="Times New Roman"/>
          <w:w w:val="105"/>
          <w:sz w:val="19"/>
        </w:rPr>
        <w:t>241</w:t>
      </w:r>
      <w:r>
        <w:rPr>
          <w:rFonts w:ascii="Times New Roman"/>
          <w:spacing w:val="-11"/>
          <w:w w:val="105"/>
          <w:sz w:val="19"/>
        </w:rPr>
        <w:t xml:space="preserve"> </w:t>
      </w:r>
      <w:r>
        <w:rPr>
          <w:rFonts w:ascii="Times New Roman"/>
          <w:w w:val="105"/>
          <w:sz w:val="19"/>
        </w:rPr>
        <w:t>(Mass.</w:t>
      </w:r>
      <w:r>
        <w:rPr>
          <w:rFonts w:ascii="Times New Roman"/>
          <w:spacing w:val="-12"/>
          <w:w w:val="105"/>
          <w:sz w:val="19"/>
        </w:rPr>
        <w:t xml:space="preserve"> </w:t>
      </w:r>
      <w:r>
        <w:rPr>
          <w:rFonts w:ascii="Times New Roman"/>
          <w:w w:val="105"/>
          <w:sz w:val="19"/>
        </w:rPr>
        <w:t>1993)</w:t>
      </w:r>
      <w:r>
        <w:rPr>
          <w:rFonts w:ascii="Times New Roman"/>
          <w:spacing w:val="-10"/>
          <w:w w:val="105"/>
          <w:sz w:val="19"/>
        </w:rPr>
        <w:t xml:space="preserve"> </w:t>
      </w:r>
      <w:r>
        <w:rPr>
          <w:rFonts w:ascii="Times New Roman"/>
          <w:w w:val="105"/>
          <w:sz w:val="19"/>
        </w:rPr>
        <w:t>(holding</w:t>
      </w:r>
      <w:r>
        <w:rPr>
          <w:rFonts w:ascii="Times New Roman"/>
          <w:spacing w:val="-11"/>
          <w:w w:val="105"/>
          <w:sz w:val="19"/>
        </w:rPr>
        <w:t xml:space="preserve"> </w:t>
      </w:r>
      <w:r>
        <w:rPr>
          <w:rFonts w:ascii="Times New Roman"/>
          <w:w w:val="105"/>
          <w:sz w:val="19"/>
        </w:rPr>
        <w:t>that</w:t>
      </w:r>
      <w:r>
        <w:rPr>
          <w:rFonts w:ascii="Times New Roman"/>
          <w:spacing w:val="-12"/>
          <w:w w:val="105"/>
          <w:sz w:val="19"/>
        </w:rPr>
        <w:t xml:space="preserve"> </w:t>
      </w:r>
      <w:r>
        <w:rPr>
          <w:rFonts w:ascii="Times New Roman"/>
          <w:w w:val="105"/>
          <w:sz w:val="19"/>
        </w:rPr>
        <w:t>a</w:t>
      </w:r>
      <w:r>
        <w:rPr>
          <w:rFonts w:ascii="Times New Roman"/>
          <w:spacing w:val="-11"/>
          <w:w w:val="105"/>
          <w:sz w:val="19"/>
        </w:rPr>
        <w:t xml:space="preserve"> </w:t>
      </w:r>
      <w:r>
        <w:rPr>
          <w:rFonts w:ascii="Times New Roman"/>
          <w:w w:val="105"/>
          <w:sz w:val="19"/>
        </w:rPr>
        <w:t>father</w:t>
      </w:r>
      <w:r>
        <w:rPr>
          <w:rFonts w:ascii="Times New Roman"/>
          <w:spacing w:val="-11"/>
          <w:w w:val="105"/>
          <w:sz w:val="19"/>
        </w:rPr>
        <w:t xml:space="preserve"> </w:t>
      </w:r>
      <w:r>
        <w:rPr>
          <w:rFonts w:ascii="Times New Roman"/>
          <w:w w:val="105"/>
          <w:sz w:val="19"/>
        </w:rPr>
        <w:t>with</w:t>
      </w:r>
      <w:r>
        <w:rPr>
          <w:rFonts w:ascii="Times New Roman"/>
          <w:spacing w:val="-11"/>
          <w:w w:val="105"/>
          <w:sz w:val="19"/>
        </w:rPr>
        <w:t xml:space="preserve"> </w:t>
      </w:r>
      <w:r>
        <w:rPr>
          <w:rFonts w:ascii="Times New Roman"/>
          <w:w w:val="105"/>
          <w:sz w:val="19"/>
        </w:rPr>
        <w:t>only</w:t>
      </w:r>
      <w:r>
        <w:rPr>
          <w:rFonts w:ascii="Times New Roman"/>
          <w:spacing w:val="-11"/>
          <w:w w:val="105"/>
          <w:sz w:val="19"/>
        </w:rPr>
        <w:t xml:space="preserve"> </w:t>
      </w:r>
      <w:r>
        <w:rPr>
          <w:rFonts w:ascii="Times New Roman"/>
          <w:w w:val="105"/>
          <w:sz w:val="19"/>
        </w:rPr>
        <w:t>court- ordered visitation rights may not seek the return of a child pursuant to the 1980 Hague</w:t>
      </w:r>
      <w:r>
        <w:rPr>
          <w:rFonts w:ascii="Times New Roman"/>
          <w:spacing w:val="37"/>
          <w:w w:val="105"/>
          <w:sz w:val="19"/>
        </w:rPr>
        <w:t xml:space="preserve"> </w:t>
      </w:r>
      <w:r>
        <w:rPr>
          <w:rFonts w:ascii="Times New Roman"/>
          <w:w w:val="105"/>
          <w:sz w:val="19"/>
        </w:rPr>
        <w:t>Convention).</w:t>
      </w:r>
    </w:p>
    <w:p w14:paraId="67164F2A" w14:textId="77777777" w:rsidR="00224843" w:rsidRDefault="00224843" w:rsidP="00615AD0">
      <w:pPr>
        <w:pStyle w:val="ListParagraph"/>
        <w:numPr>
          <w:ilvl w:val="0"/>
          <w:numId w:val="2"/>
        </w:numPr>
        <w:tabs>
          <w:tab w:val="left" w:pos="647"/>
        </w:tabs>
        <w:rPr>
          <w:rFonts w:ascii="Times New Roman" w:eastAsia="Times New Roman" w:hAnsi="Times New Roman" w:cs="Times New Roman"/>
          <w:sz w:val="19"/>
          <w:szCs w:val="19"/>
        </w:rPr>
      </w:pPr>
      <w:r>
        <w:rPr>
          <w:rFonts w:ascii="Times New Roman"/>
          <w:sz w:val="19"/>
        </w:rPr>
        <w:t xml:space="preserve">Abbott v. Abbott, 560 U.S. 1 </w:t>
      </w:r>
      <w:r>
        <w:rPr>
          <w:rFonts w:ascii="Times New Roman"/>
          <w:spacing w:val="9"/>
          <w:sz w:val="19"/>
        </w:rPr>
        <w:t xml:space="preserve"> </w:t>
      </w:r>
      <w:r>
        <w:rPr>
          <w:rFonts w:ascii="Times New Roman"/>
          <w:sz w:val="19"/>
        </w:rPr>
        <w:t>(2010).</w:t>
      </w:r>
    </w:p>
    <w:p w14:paraId="5DE7FCA9" w14:textId="48158432" w:rsidR="00224843" w:rsidRDefault="00224843" w:rsidP="00615AD0">
      <w:pPr>
        <w:pStyle w:val="ListParagraph"/>
        <w:numPr>
          <w:ilvl w:val="0"/>
          <w:numId w:val="2"/>
        </w:numPr>
        <w:tabs>
          <w:tab w:val="left" w:pos="656"/>
        </w:tabs>
        <w:spacing w:before="21" w:line="264" w:lineRule="auto"/>
        <w:ind w:right="117"/>
        <w:rPr>
          <w:rFonts w:ascii="Times New Roman" w:eastAsia="Times New Roman" w:hAnsi="Times New Roman" w:cs="Times New Roman"/>
          <w:sz w:val="19"/>
          <w:szCs w:val="19"/>
        </w:rPr>
      </w:pPr>
      <w:r>
        <w:rPr>
          <w:rFonts w:ascii="Times New Roman"/>
          <w:w w:val="105"/>
          <w:sz w:val="19"/>
        </w:rPr>
        <w:t xml:space="preserve">A </w:t>
      </w:r>
      <w:r>
        <w:rPr>
          <w:rFonts w:ascii="Times New Roman"/>
          <w:i/>
          <w:w w:val="105"/>
          <w:sz w:val="19"/>
        </w:rPr>
        <w:t xml:space="preserve">ne exeat </w:t>
      </w:r>
      <w:r>
        <w:rPr>
          <w:rFonts w:ascii="Times New Roman"/>
          <w:w w:val="105"/>
          <w:sz w:val="19"/>
        </w:rPr>
        <w:t>order typically prohibits a parent, or both parents, from r</w:t>
      </w:r>
      <w:r w:rsidR="00FB7283">
        <w:rPr>
          <w:rFonts w:ascii="Times New Roman"/>
          <w:w w:val="105"/>
          <w:sz w:val="19"/>
        </w:rPr>
        <w:t>emoving a child from the juris</w:t>
      </w:r>
      <w:r>
        <w:rPr>
          <w:rFonts w:ascii="Times New Roman"/>
          <w:w w:val="105"/>
          <w:sz w:val="19"/>
        </w:rPr>
        <w:t>diction of the court or prohibits moving a child across an international bord</w:t>
      </w:r>
      <w:r w:rsidR="00FB7283">
        <w:rPr>
          <w:rFonts w:ascii="Times New Roman"/>
          <w:w w:val="105"/>
          <w:sz w:val="19"/>
        </w:rPr>
        <w:t xml:space="preserve">er without the permission </w:t>
      </w:r>
      <w:r w:rsidR="00376816">
        <w:rPr>
          <w:rFonts w:ascii="Times New Roman"/>
          <w:w w:val="105"/>
          <w:sz w:val="19"/>
        </w:rPr>
        <w:t>of the</w:t>
      </w:r>
      <w:r>
        <w:rPr>
          <w:rFonts w:ascii="Times New Roman"/>
          <w:w w:val="105"/>
          <w:sz w:val="19"/>
        </w:rPr>
        <w:t xml:space="preserve"> court or the other parent. In U.S. courts the </w:t>
      </w:r>
      <w:r>
        <w:rPr>
          <w:rFonts w:ascii="Times New Roman"/>
          <w:i/>
          <w:w w:val="105"/>
          <w:sz w:val="19"/>
        </w:rPr>
        <w:t xml:space="preserve">ne exeat </w:t>
      </w:r>
      <w:r>
        <w:rPr>
          <w:rFonts w:ascii="Times New Roman"/>
          <w:w w:val="105"/>
          <w:sz w:val="19"/>
        </w:rPr>
        <w:t xml:space="preserve">order may be referred to simply as a restraining order </w:t>
      </w:r>
      <w:r>
        <w:rPr>
          <w:rFonts w:ascii="Times New Roman"/>
          <w:w w:val="105"/>
          <w:sz w:val="19"/>
        </w:rPr>
        <w:lastRenderedPageBreak/>
        <w:t>preventing removal of a child from a particular city, county, or state, or from the</w:t>
      </w:r>
      <w:r>
        <w:rPr>
          <w:rFonts w:ascii="Times New Roman"/>
          <w:spacing w:val="4"/>
          <w:w w:val="105"/>
          <w:sz w:val="19"/>
        </w:rPr>
        <w:t xml:space="preserve"> </w:t>
      </w:r>
      <w:r>
        <w:rPr>
          <w:rFonts w:ascii="Times New Roman"/>
          <w:w w:val="105"/>
          <w:sz w:val="19"/>
        </w:rPr>
        <w:t>nation.</w:t>
      </w:r>
    </w:p>
    <w:p w14:paraId="27D4C9A5" w14:textId="77777777" w:rsidR="00224843" w:rsidRDefault="00224843" w:rsidP="00615AD0">
      <w:pPr>
        <w:pStyle w:val="ListParagraph"/>
        <w:numPr>
          <w:ilvl w:val="0"/>
          <w:numId w:val="2"/>
        </w:numPr>
        <w:tabs>
          <w:tab w:val="left" w:pos="648"/>
        </w:tabs>
        <w:spacing w:line="264" w:lineRule="auto"/>
        <w:ind w:right="118"/>
        <w:rPr>
          <w:rFonts w:ascii="Times New Roman" w:eastAsia="Times New Roman" w:hAnsi="Times New Roman" w:cs="Times New Roman"/>
          <w:sz w:val="19"/>
          <w:szCs w:val="19"/>
        </w:rPr>
      </w:pPr>
      <w:r>
        <w:rPr>
          <w:rFonts w:ascii="Times New Roman" w:eastAsia="Times New Roman" w:hAnsi="Times New Roman" w:cs="Times New Roman"/>
          <w:w w:val="105"/>
          <w:sz w:val="19"/>
          <w:szCs w:val="19"/>
        </w:rPr>
        <w:t>Convention</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of</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25</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October</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1980</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on</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the</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Civil</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Aspects</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of</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International</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Child</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Abduction,</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Oct.</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25,</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1980, 1343 U.N.T.S. 97 (entered into force on Dec. 1, 1983). “‘[R]ights of custody’ shall include rights relating to the</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w w:val="105"/>
          <w:sz w:val="19"/>
          <w:szCs w:val="19"/>
        </w:rPr>
        <w:t>care</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w w:val="105"/>
          <w:sz w:val="19"/>
          <w:szCs w:val="19"/>
        </w:rPr>
        <w:t>of</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the</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w w:val="105"/>
          <w:sz w:val="19"/>
          <w:szCs w:val="19"/>
        </w:rPr>
        <w:t>person</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w w:val="105"/>
          <w:sz w:val="19"/>
          <w:szCs w:val="19"/>
        </w:rPr>
        <w:t>of</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the</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w w:val="105"/>
          <w:sz w:val="19"/>
          <w:szCs w:val="19"/>
        </w:rPr>
        <w:t>child</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w w:val="105"/>
          <w:sz w:val="19"/>
          <w:szCs w:val="19"/>
        </w:rPr>
        <w:t>and,</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in</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w w:val="105"/>
          <w:sz w:val="19"/>
          <w:szCs w:val="19"/>
        </w:rPr>
        <w:t>particular,</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the</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w w:val="105"/>
          <w:sz w:val="19"/>
          <w:szCs w:val="19"/>
        </w:rPr>
        <w:t>right</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to</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w w:val="105"/>
          <w:sz w:val="19"/>
          <w:szCs w:val="19"/>
        </w:rPr>
        <w:t>determine</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w w:val="105"/>
          <w:sz w:val="19"/>
          <w:szCs w:val="19"/>
        </w:rPr>
        <w:t>the</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w w:val="105"/>
          <w:sz w:val="19"/>
          <w:szCs w:val="19"/>
        </w:rPr>
        <w:t>child’s</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w w:val="105"/>
          <w:sz w:val="19"/>
          <w:szCs w:val="19"/>
        </w:rPr>
        <w:t>place</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w w:val="105"/>
          <w:sz w:val="19"/>
          <w:szCs w:val="19"/>
        </w:rPr>
        <w:t>of</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residence.”</w:t>
      </w:r>
    </w:p>
    <w:p w14:paraId="29488826" w14:textId="77777777" w:rsidR="00224843" w:rsidRDefault="00224843" w:rsidP="00615AD0">
      <w:pPr>
        <w:pStyle w:val="ListParagraph"/>
        <w:numPr>
          <w:ilvl w:val="0"/>
          <w:numId w:val="2"/>
        </w:numPr>
        <w:tabs>
          <w:tab w:val="left" w:pos="647"/>
        </w:tabs>
        <w:rPr>
          <w:rFonts w:ascii="Times New Roman" w:eastAsia="Times New Roman" w:hAnsi="Times New Roman" w:cs="Times New Roman"/>
          <w:sz w:val="19"/>
          <w:szCs w:val="19"/>
        </w:rPr>
      </w:pPr>
      <w:r>
        <w:rPr>
          <w:rFonts w:ascii="Times New Roman"/>
          <w:i/>
          <w:sz w:val="19"/>
        </w:rPr>
        <w:t xml:space="preserve">Id. </w:t>
      </w:r>
      <w:r>
        <w:rPr>
          <w:rFonts w:ascii="Times New Roman"/>
          <w:sz w:val="19"/>
        </w:rPr>
        <w:t>at</w:t>
      </w:r>
      <w:r>
        <w:rPr>
          <w:rFonts w:ascii="Times New Roman"/>
          <w:spacing w:val="13"/>
          <w:sz w:val="19"/>
        </w:rPr>
        <w:t xml:space="preserve"> </w:t>
      </w:r>
      <w:r>
        <w:rPr>
          <w:rFonts w:ascii="Times New Roman"/>
          <w:sz w:val="19"/>
        </w:rPr>
        <w:t>14.</w:t>
      </w:r>
    </w:p>
    <w:p w14:paraId="5E9BDF09" w14:textId="7CB7247D" w:rsidR="00224843" w:rsidRPr="00224843" w:rsidRDefault="00224843" w:rsidP="00615AD0">
      <w:pPr>
        <w:pStyle w:val="ListParagraph"/>
        <w:numPr>
          <w:ilvl w:val="0"/>
          <w:numId w:val="2"/>
        </w:numPr>
        <w:tabs>
          <w:tab w:val="left" w:pos="659"/>
        </w:tabs>
        <w:spacing w:before="21" w:line="264" w:lineRule="auto"/>
        <w:ind w:right="117"/>
        <w:rPr>
          <w:rFonts w:ascii="Times New Roman" w:eastAsia="Times New Roman" w:hAnsi="Times New Roman" w:cs="Times New Roman"/>
          <w:sz w:val="19"/>
          <w:szCs w:val="19"/>
        </w:rPr>
      </w:pPr>
      <w:r>
        <w:rPr>
          <w:rFonts w:ascii="Times New Roman" w:eastAsia="Times New Roman" w:hAnsi="Times New Roman" w:cs="Times New Roman"/>
          <w:w w:val="105"/>
          <w:sz w:val="19"/>
          <w:szCs w:val="19"/>
        </w:rPr>
        <w:t>Cal. Fam. Code § 2040(a)(1) (West 2012) provides for an order “[r]e</w:t>
      </w:r>
      <w:r w:rsidR="00FB7283">
        <w:rPr>
          <w:rFonts w:ascii="Times New Roman" w:eastAsia="Times New Roman" w:hAnsi="Times New Roman" w:cs="Times New Roman"/>
          <w:w w:val="105"/>
          <w:sz w:val="19"/>
          <w:szCs w:val="19"/>
        </w:rPr>
        <w:t>straining both parties from re</w:t>
      </w:r>
      <w:r>
        <w:rPr>
          <w:rFonts w:ascii="Times New Roman" w:eastAsia="Times New Roman" w:hAnsi="Times New Roman" w:cs="Times New Roman"/>
          <w:w w:val="105"/>
          <w:sz w:val="19"/>
          <w:szCs w:val="19"/>
        </w:rPr>
        <w:t>moving the minor child or children of the parties, if any, from the state, or</w:t>
      </w:r>
      <w:r w:rsidR="00FB7283">
        <w:rPr>
          <w:rFonts w:ascii="Times New Roman" w:eastAsia="Times New Roman" w:hAnsi="Times New Roman" w:cs="Times New Roman"/>
          <w:w w:val="105"/>
          <w:sz w:val="19"/>
          <w:szCs w:val="19"/>
        </w:rPr>
        <w:t xml:space="preserve"> from applying for a new or re</w:t>
      </w:r>
      <w:r>
        <w:rPr>
          <w:rFonts w:ascii="Times New Roman" w:eastAsia="Times New Roman" w:hAnsi="Times New Roman" w:cs="Times New Roman"/>
          <w:w w:val="105"/>
          <w:sz w:val="19"/>
          <w:szCs w:val="19"/>
        </w:rPr>
        <w:t>placement passport for the minor child or children, without the prior written consent of the other party or   an order of the</w:t>
      </w:r>
      <w:r>
        <w:rPr>
          <w:rFonts w:ascii="Times New Roman" w:eastAsia="Times New Roman" w:hAnsi="Times New Roman" w:cs="Times New Roman"/>
          <w:spacing w:val="12"/>
          <w:w w:val="105"/>
          <w:sz w:val="19"/>
          <w:szCs w:val="19"/>
        </w:rPr>
        <w:t xml:space="preserve"> </w:t>
      </w:r>
      <w:r>
        <w:rPr>
          <w:rFonts w:ascii="Times New Roman" w:eastAsia="Times New Roman" w:hAnsi="Times New Roman" w:cs="Times New Roman"/>
          <w:w w:val="105"/>
          <w:sz w:val="19"/>
          <w:szCs w:val="19"/>
        </w:rPr>
        <w:t>court.”</w:t>
      </w:r>
    </w:p>
    <w:p w14:paraId="1CC8562E" w14:textId="33DAAE0F" w:rsidR="003A6FB8" w:rsidRDefault="001E2371" w:rsidP="00615AD0">
      <w:pPr>
        <w:pStyle w:val="ListParagraph"/>
        <w:numPr>
          <w:ilvl w:val="0"/>
          <w:numId w:val="2"/>
        </w:numPr>
        <w:tabs>
          <w:tab w:val="left" w:pos="664"/>
        </w:tabs>
        <w:spacing w:before="16" w:line="264" w:lineRule="auto"/>
        <w:ind w:right="117"/>
        <w:rPr>
          <w:rFonts w:ascii="Times New Roman" w:eastAsia="Times New Roman" w:hAnsi="Times New Roman" w:cs="Times New Roman"/>
          <w:sz w:val="19"/>
          <w:szCs w:val="19"/>
        </w:rPr>
      </w:pPr>
      <w:r>
        <w:rPr>
          <w:rFonts w:ascii="Times New Roman"/>
          <w:sz w:val="19"/>
        </w:rPr>
        <w:t xml:space="preserve">Mota v. Castillo, 692 F.3d 108, 117 (1st Cir. 2014) (quoting Patricia Begne, </w:t>
      </w:r>
      <w:r w:rsidR="00376816">
        <w:rPr>
          <w:rFonts w:ascii="Times New Roman"/>
          <w:i/>
          <w:sz w:val="19"/>
        </w:rPr>
        <w:t>Parental Authority and</w:t>
      </w:r>
      <w:r>
        <w:rPr>
          <w:rFonts w:ascii="Times New Roman"/>
          <w:i/>
          <w:sz w:val="19"/>
        </w:rPr>
        <w:t xml:space="preserve"> Child Custody in Mexico</w:t>
      </w:r>
      <w:r>
        <w:rPr>
          <w:rFonts w:ascii="Times New Roman"/>
          <w:sz w:val="19"/>
        </w:rPr>
        <w:t xml:space="preserve">, 39 Fam. L.Q. 527, 531 </w:t>
      </w:r>
      <w:r>
        <w:rPr>
          <w:rFonts w:ascii="Times New Roman"/>
          <w:spacing w:val="17"/>
          <w:sz w:val="19"/>
        </w:rPr>
        <w:t xml:space="preserve"> </w:t>
      </w:r>
      <w:r>
        <w:rPr>
          <w:rFonts w:ascii="Times New Roman"/>
          <w:sz w:val="19"/>
        </w:rPr>
        <w:t>(2005)).</w:t>
      </w:r>
    </w:p>
    <w:p w14:paraId="4C9EEA7E" w14:textId="27038046" w:rsidR="003A6FB8" w:rsidRDefault="001E2371" w:rsidP="00615AD0">
      <w:pPr>
        <w:pStyle w:val="ListParagraph"/>
        <w:numPr>
          <w:ilvl w:val="0"/>
          <w:numId w:val="2"/>
        </w:numPr>
        <w:tabs>
          <w:tab w:val="left" w:pos="656"/>
        </w:tabs>
        <w:spacing w:line="264" w:lineRule="auto"/>
        <w:ind w:right="117"/>
        <w:rPr>
          <w:rFonts w:ascii="Times New Roman" w:eastAsia="Times New Roman" w:hAnsi="Times New Roman" w:cs="Times New Roman"/>
          <w:sz w:val="19"/>
          <w:szCs w:val="19"/>
        </w:rPr>
      </w:pPr>
      <w:r>
        <w:rPr>
          <w:rFonts w:ascii="Times New Roman" w:eastAsia="Times New Roman" w:hAnsi="Times New Roman" w:cs="Times New Roman"/>
          <w:i/>
          <w:sz w:val="19"/>
          <w:szCs w:val="19"/>
        </w:rPr>
        <w:t xml:space="preserve">See, e.g., </w:t>
      </w:r>
      <w:r>
        <w:rPr>
          <w:rFonts w:ascii="Times New Roman" w:eastAsia="Times New Roman" w:hAnsi="Times New Roman" w:cs="Times New Roman"/>
          <w:sz w:val="19"/>
          <w:szCs w:val="19"/>
        </w:rPr>
        <w:t xml:space="preserve">Altamiranda Vale v. Avila, 538 F.3d 581 (7th Cir. 2008) (Venezuela); Whallon v. Lynn, 230 F.3d 450, 459 (1st Cir. 2000) (Mexico); </w:t>
      </w:r>
      <w:r>
        <w:rPr>
          <w:rFonts w:ascii="Times New Roman" w:eastAsia="Times New Roman" w:hAnsi="Times New Roman" w:cs="Times New Roman"/>
          <w:i/>
          <w:sz w:val="19"/>
          <w:szCs w:val="19"/>
        </w:rPr>
        <w:t xml:space="preserve">In re </w:t>
      </w:r>
      <w:r>
        <w:rPr>
          <w:rFonts w:ascii="Times New Roman" w:eastAsia="Times New Roman" w:hAnsi="Times New Roman" w:cs="Times New Roman"/>
          <w:sz w:val="19"/>
          <w:szCs w:val="19"/>
        </w:rPr>
        <w:t xml:space="preserve">B. del C.S.B. 525 F. Supp. 2d 1182 (C.D. Cal. 2007) (Mexico); Giampaolo v. Erneta, 390 F. Supp. 2d 1269 (N.D. Ga. 2004) (Argentina); Aguilera v. De Lara, CV14–1209   PHX DGC, 2014 WL 3427548 (D. Ariz. July 15, 2014); </w:t>
      </w:r>
      <w:r>
        <w:rPr>
          <w:rFonts w:ascii="Times New Roman" w:eastAsia="Times New Roman" w:hAnsi="Times New Roman" w:cs="Times New Roman"/>
          <w:i/>
          <w:sz w:val="19"/>
          <w:szCs w:val="19"/>
        </w:rPr>
        <w:t xml:space="preserve">In re </w:t>
      </w:r>
      <w:r>
        <w:rPr>
          <w:rFonts w:ascii="Times New Roman" w:eastAsia="Times New Roman" w:hAnsi="Times New Roman" w:cs="Times New Roman"/>
          <w:sz w:val="19"/>
          <w:szCs w:val="19"/>
        </w:rPr>
        <w:t>S.L.C., 4 F. Supp. 3d 1338 (M.D. Fla. 2014); Mendoza v. Silva, 987 F. Supp. 2d 883 (N.D. Iowa 2013); Gallardo v. Orozco</w:t>
      </w:r>
      <w:r w:rsidR="00FB7283">
        <w:rPr>
          <w:rFonts w:ascii="Times New Roman" w:eastAsia="Times New Roman" w:hAnsi="Times New Roman" w:cs="Times New Roman"/>
          <w:sz w:val="19"/>
          <w:szCs w:val="19"/>
        </w:rPr>
        <w:t xml:space="preserve">, 954 F. Supp. 2d 555 (W.D.  </w:t>
      </w:r>
      <w:bookmarkStart w:id="0" w:name="_GoBack"/>
      <w:bookmarkEnd w:id="0"/>
      <w:r>
        <w:rPr>
          <w:rFonts w:ascii="Times New Roman" w:eastAsia="Times New Roman" w:hAnsi="Times New Roman" w:cs="Times New Roman"/>
          <w:sz w:val="19"/>
          <w:szCs w:val="19"/>
        </w:rPr>
        <w:t xml:space="preserve">Tex. 2013); Garcia v. Varona, 806 F. Supp. 2d 1299 (N.D. Ga. </w:t>
      </w:r>
      <w:r>
        <w:rPr>
          <w:rFonts w:ascii="Times New Roman" w:eastAsia="Times New Roman" w:hAnsi="Times New Roman" w:cs="Times New Roman"/>
          <w:spacing w:val="41"/>
          <w:sz w:val="19"/>
          <w:szCs w:val="19"/>
        </w:rPr>
        <w:t xml:space="preserve"> </w:t>
      </w:r>
      <w:r>
        <w:rPr>
          <w:rFonts w:ascii="Times New Roman" w:eastAsia="Times New Roman" w:hAnsi="Times New Roman" w:cs="Times New Roman"/>
          <w:sz w:val="19"/>
          <w:szCs w:val="19"/>
        </w:rPr>
        <w:t>2011).</w:t>
      </w:r>
    </w:p>
    <w:p w14:paraId="0796BE11" w14:textId="5B228DE9" w:rsidR="003A6FB8" w:rsidRDefault="001E2371" w:rsidP="00615AD0">
      <w:pPr>
        <w:pStyle w:val="ListParagraph"/>
        <w:numPr>
          <w:ilvl w:val="0"/>
          <w:numId w:val="2"/>
        </w:numPr>
        <w:tabs>
          <w:tab w:val="left" w:pos="658"/>
        </w:tabs>
        <w:spacing w:line="264" w:lineRule="auto"/>
        <w:ind w:right="118"/>
        <w:rPr>
          <w:rFonts w:ascii="Times New Roman" w:eastAsia="Times New Roman" w:hAnsi="Times New Roman" w:cs="Times New Roman"/>
          <w:sz w:val="19"/>
          <w:szCs w:val="19"/>
        </w:rPr>
      </w:pPr>
      <w:r>
        <w:rPr>
          <w:rFonts w:ascii="Times New Roman" w:eastAsia="Times New Roman" w:hAnsi="Times New Roman" w:cs="Times New Roman"/>
          <w:w w:val="105"/>
          <w:sz w:val="19"/>
          <w:szCs w:val="19"/>
        </w:rPr>
        <w:t xml:space="preserve">Gonzalez v. Gutierrez, 311 F.3d 942 (9th Cir. 2002) (The Ninth Circuit held that </w:t>
      </w:r>
      <w:r>
        <w:rPr>
          <w:rFonts w:ascii="Times New Roman" w:eastAsia="Times New Roman" w:hAnsi="Times New Roman" w:cs="Times New Roman"/>
          <w:i/>
          <w:w w:val="105"/>
          <w:sz w:val="19"/>
          <w:szCs w:val="19"/>
        </w:rPr>
        <w:t xml:space="preserve">patria potestas </w:t>
      </w:r>
      <w:r>
        <w:rPr>
          <w:rFonts w:ascii="Times New Roman" w:eastAsia="Times New Roman" w:hAnsi="Times New Roman" w:cs="Times New Roman"/>
          <w:w w:val="105"/>
          <w:sz w:val="19"/>
          <w:szCs w:val="19"/>
        </w:rPr>
        <w:t>did not confer rights of custody where the parents had executed a custody agreement that made no reference to the</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doctrine</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of</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i/>
          <w:w w:val="105"/>
          <w:sz w:val="19"/>
          <w:szCs w:val="19"/>
        </w:rPr>
        <w:t>patria</w:t>
      </w:r>
      <w:r>
        <w:rPr>
          <w:rFonts w:ascii="Times New Roman" w:eastAsia="Times New Roman" w:hAnsi="Times New Roman" w:cs="Times New Roman"/>
          <w:i/>
          <w:spacing w:val="-4"/>
          <w:w w:val="105"/>
          <w:sz w:val="19"/>
          <w:szCs w:val="19"/>
        </w:rPr>
        <w:t xml:space="preserve"> </w:t>
      </w:r>
      <w:r>
        <w:rPr>
          <w:rFonts w:ascii="Times New Roman" w:eastAsia="Times New Roman" w:hAnsi="Times New Roman" w:cs="Times New Roman"/>
          <w:i/>
          <w:w w:val="105"/>
          <w:sz w:val="19"/>
          <w:szCs w:val="19"/>
        </w:rPr>
        <w:t>potestas</w:t>
      </w:r>
      <w:r>
        <w:rPr>
          <w:rFonts w:ascii="Times New Roman" w:eastAsia="Times New Roman" w:hAnsi="Times New Roman" w:cs="Times New Roman"/>
          <w:w w:val="105"/>
          <w:sz w:val="19"/>
          <w:szCs w:val="19"/>
        </w:rPr>
        <w:t>.</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The</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agreement</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itself</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provided</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father</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only</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with</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rights</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of</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visitation,</w:t>
      </w:r>
      <w:r>
        <w:rPr>
          <w:rFonts w:ascii="Times New Roman" w:eastAsia="Times New Roman" w:hAnsi="Times New Roman" w:cs="Times New Roman"/>
          <w:spacing w:val="-5"/>
          <w:w w:val="105"/>
          <w:sz w:val="19"/>
          <w:szCs w:val="19"/>
        </w:rPr>
        <w:t xml:space="preserve"> </w:t>
      </w:r>
      <w:r w:rsidR="00FB7283">
        <w:rPr>
          <w:rFonts w:ascii="Times New Roman" w:eastAsia="Times New Roman" w:hAnsi="Times New Roman" w:cs="Times New Roman"/>
          <w:w w:val="105"/>
          <w:sz w:val="19"/>
          <w:szCs w:val="19"/>
        </w:rPr>
        <w:t>“eliminat</w:t>
      </w:r>
      <w:r>
        <w:rPr>
          <w:rFonts w:ascii="Times New Roman" w:eastAsia="Times New Roman" w:hAnsi="Times New Roman" w:cs="Times New Roman"/>
          <w:w w:val="105"/>
          <w:sz w:val="19"/>
          <w:szCs w:val="19"/>
        </w:rPr>
        <w:t>ing</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w w:val="105"/>
          <w:sz w:val="19"/>
          <w:szCs w:val="19"/>
        </w:rPr>
        <w:t>any</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w w:val="105"/>
          <w:sz w:val="19"/>
          <w:szCs w:val="19"/>
        </w:rPr>
        <w:t>basis</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w w:val="105"/>
          <w:sz w:val="19"/>
          <w:szCs w:val="19"/>
        </w:rPr>
        <w:t>for</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w w:val="105"/>
          <w:sz w:val="19"/>
          <w:szCs w:val="19"/>
        </w:rPr>
        <w:t>relying</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w w:val="105"/>
          <w:sz w:val="19"/>
          <w:szCs w:val="19"/>
        </w:rPr>
        <w:t>on</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w w:val="105"/>
          <w:sz w:val="19"/>
          <w:szCs w:val="19"/>
        </w:rPr>
        <w:t>patria</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w w:val="105"/>
          <w:sz w:val="19"/>
          <w:szCs w:val="19"/>
        </w:rPr>
        <w:t>potestas.”)</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w w:val="105"/>
          <w:sz w:val="19"/>
          <w:szCs w:val="19"/>
        </w:rPr>
        <w:t>(abrogated</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w w:val="105"/>
          <w:sz w:val="19"/>
          <w:szCs w:val="19"/>
        </w:rPr>
        <w:t>by</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w w:val="105"/>
          <w:sz w:val="19"/>
          <w:szCs w:val="19"/>
        </w:rPr>
        <w:t>Abbott</w:t>
      </w:r>
      <w:r>
        <w:rPr>
          <w:rFonts w:ascii="Times New Roman" w:eastAsia="Times New Roman" w:hAnsi="Times New Roman" w:cs="Times New Roman"/>
          <w:spacing w:val="-10"/>
          <w:w w:val="105"/>
          <w:sz w:val="19"/>
          <w:szCs w:val="19"/>
        </w:rPr>
        <w:t xml:space="preserve"> </w:t>
      </w:r>
      <w:r>
        <w:rPr>
          <w:rFonts w:ascii="Times New Roman" w:eastAsia="Times New Roman" w:hAnsi="Times New Roman" w:cs="Times New Roman"/>
          <w:w w:val="105"/>
          <w:sz w:val="19"/>
          <w:szCs w:val="19"/>
        </w:rPr>
        <w:t>v.</w:t>
      </w:r>
      <w:r>
        <w:rPr>
          <w:rFonts w:ascii="Times New Roman" w:eastAsia="Times New Roman" w:hAnsi="Times New Roman" w:cs="Times New Roman"/>
          <w:spacing w:val="-10"/>
          <w:w w:val="105"/>
          <w:sz w:val="19"/>
          <w:szCs w:val="19"/>
        </w:rPr>
        <w:t xml:space="preserve"> </w:t>
      </w:r>
      <w:r>
        <w:rPr>
          <w:rFonts w:ascii="Times New Roman" w:eastAsia="Times New Roman" w:hAnsi="Times New Roman" w:cs="Times New Roman"/>
          <w:w w:val="105"/>
          <w:sz w:val="19"/>
          <w:szCs w:val="19"/>
        </w:rPr>
        <w:t>Abbott,</w:t>
      </w:r>
      <w:r>
        <w:rPr>
          <w:rFonts w:ascii="Times New Roman" w:eastAsia="Times New Roman" w:hAnsi="Times New Roman" w:cs="Times New Roman"/>
          <w:spacing w:val="-10"/>
          <w:w w:val="105"/>
          <w:sz w:val="19"/>
          <w:szCs w:val="19"/>
        </w:rPr>
        <w:t xml:space="preserve"> </w:t>
      </w:r>
      <w:r>
        <w:rPr>
          <w:rFonts w:ascii="Times New Roman" w:eastAsia="Times New Roman" w:hAnsi="Times New Roman" w:cs="Times New Roman"/>
          <w:w w:val="105"/>
          <w:sz w:val="19"/>
          <w:szCs w:val="19"/>
        </w:rPr>
        <w:t>560</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w w:val="105"/>
          <w:sz w:val="19"/>
          <w:szCs w:val="19"/>
        </w:rPr>
        <w:t>U.S.</w:t>
      </w:r>
      <w:r>
        <w:rPr>
          <w:rFonts w:ascii="Times New Roman" w:eastAsia="Times New Roman" w:hAnsi="Times New Roman" w:cs="Times New Roman"/>
          <w:spacing w:val="-10"/>
          <w:w w:val="105"/>
          <w:sz w:val="19"/>
          <w:szCs w:val="19"/>
        </w:rPr>
        <w:t xml:space="preserve"> </w:t>
      </w:r>
      <w:r>
        <w:rPr>
          <w:rFonts w:ascii="Times New Roman" w:eastAsia="Times New Roman" w:hAnsi="Times New Roman" w:cs="Times New Roman"/>
          <w:w w:val="105"/>
          <w:sz w:val="19"/>
          <w:szCs w:val="19"/>
        </w:rPr>
        <w:t>1</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w w:val="105"/>
          <w:sz w:val="19"/>
          <w:szCs w:val="19"/>
        </w:rPr>
        <w:t>(2010)).</w:t>
      </w:r>
    </w:p>
    <w:p w14:paraId="3D0640EE" w14:textId="77777777" w:rsidR="003A6FB8" w:rsidRDefault="001E2371" w:rsidP="00AE0236">
      <w:pPr>
        <w:tabs>
          <w:tab w:val="left" w:pos="0"/>
        </w:tabs>
        <w:ind w:hanging="180"/>
        <w:rPr>
          <w:rFonts w:ascii="Times New Roman" w:eastAsia="Times New Roman" w:hAnsi="Times New Roman" w:cs="Times New Roman"/>
          <w:sz w:val="19"/>
          <w:szCs w:val="19"/>
        </w:rPr>
      </w:pPr>
      <w:r>
        <w:rPr>
          <w:rFonts w:ascii="Times New Roman"/>
          <w:sz w:val="19"/>
        </w:rPr>
        <w:t xml:space="preserve">10. Ibarra v. Garcia, 476 F. Supp. 2d 630, 635 (S.D. Tex. </w:t>
      </w:r>
      <w:r>
        <w:rPr>
          <w:rFonts w:ascii="Times New Roman"/>
          <w:spacing w:val="9"/>
          <w:sz w:val="19"/>
        </w:rPr>
        <w:t xml:space="preserve"> </w:t>
      </w:r>
      <w:r>
        <w:rPr>
          <w:rFonts w:ascii="Times New Roman"/>
          <w:sz w:val="19"/>
        </w:rPr>
        <w:t>2007).</w:t>
      </w:r>
    </w:p>
    <w:sectPr w:rsidR="003A6FB8">
      <w:headerReference w:type="default" r:id="rId8"/>
      <w:footerReference w:type="default" r:id="rId9"/>
      <w:pgSz w:w="12240" w:h="15840"/>
      <w:pgMar w:top="1260" w:right="1680" w:bottom="1180" w:left="1700" w:header="1039" w:footer="98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90A1E" w14:textId="77777777" w:rsidR="003F48AD" w:rsidRDefault="003F48AD">
      <w:r>
        <w:separator/>
      </w:r>
    </w:p>
  </w:endnote>
  <w:endnote w:type="continuationSeparator" w:id="0">
    <w:p w14:paraId="57EF3053" w14:textId="77777777" w:rsidR="003F48AD" w:rsidRDefault="003F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DDE41" w14:textId="7A1082D1" w:rsidR="003A6FB8" w:rsidRDefault="00FC5D22">
    <w:pPr>
      <w:spacing w:line="14" w:lineRule="auto"/>
      <w:rPr>
        <w:sz w:val="20"/>
        <w:szCs w:val="20"/>
      </w:rPr>
    </w:pPr>
    <w:r>
      <w:rPr>
        <w:noProof/>
      </w:rPr>
      <mc:AlternateContent>
        <mc:Choice Requires="wps">
          <w:drawing>
            <wp:anchor distT="0" distB="0" distL="114300" distR="114300" simplePos="0" relativeHeight="503313248" behindDoc="1" locked="0" layoutInCell="1" allowOverlap="1" wp14:anchorId="7796E42C" wp14:editId="6AD149FE">
              <wp:simplePos x="0" y="0"/>
              <wp:positionH relativeFrom="page">
                <wp:posOffset>1130300</wp:posOffset>
              </wp:positionH>
              <wp:positionV relativeFrom="page">
                <wp:posOffset>9291320</wp:posOffset>
              </wp:positionV>
              <wp:extent cx="3312795" cy="138430"/>
              <wp:effectExtent l="0" t="0" r="190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7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12D1C" w14:textId="77777777" w:rsidR="003A6FB8" w:rsidRDefault="001E2371">
                          <w:pPr>
                            <w:spacing w:line="188" w:lineRule="exact"/>
                            <w:ind w:left="20"/>
                            <w:rPr>
                              <w:rFonts w:ascii="Times New Roman" w:eastAsia="Times New Roman" w:hAnsi="Times New Roman" w:cs="Times New Roman"/>
                              <w:sz w:val="17"/>
                              <w:szCs w:val="17"/>
                            </w:rPr>
                          </w:pPr>
                          <w:r>
                            <w:rPr>
                              <w:rFonts w:ascii="Times New Roman" w:eastAsia="Times New Roman" w:hAnsi="Times New Roman" w:cs="Times New Roman"/>
                              <w:b/>
                              <w:bCs/>
                              <w:w w:val="105"/>
                              <w:sz w:val="17"/>
                              <w:szCs w:val="17"/>
                            </w:rPr>
                            <w:t>The</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1980</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Hague</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Convention</w:t>
                          </w:r>
                          <w:r>
                            <w:rPr>
                              <w:rFonts w:ascii="Times New Roman" w:eastAsia="Times New Roman" w:hAnsi="Times New Roman" w:cs="Times New Roman"/>
                              <w:b/>
                              <w:bCs/>
                              <w:spacing w:val="-10"/>
                              <w:w w:val="105"/>
                              <w:sz w:val="17"/>
                              <w:szCs w:val="17"/>
                            </w:rPr>
                            <w:t xml:space="preserve"> </w:t>
                          </w:r>
                          <w:r>
                            <w:rPr>
                              <w:rFonts w:ascii="Times New Roman" w:eastAsia="Times New Roman" w:hAnsi="Times New Roman" w:cs="Times New Roman"/>
                              <w:b/>
                              <w:bCs/>
                              <w:w w:val="105"/>
                              <w:sz w:val="17"/>
                              <w:szCs w:val="17"/>
                            </w:rPr>
                            <w:t>–</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FAQ</w:t>
                          </w:r>
                          <w:r>
                            <w:rPr>
                              <w:rFonts w:ascii="Times New Roman" w:eastAsia="Times New Roman" w:hAnsi="Times New Roman" w:cs="Times New Roman"/>
                              <w:b/>
                              <w:bCs/>
                              <w:spacing w:val="-10"/>
                              <w:w w:val="105"/>
                              <w:sz w:val="17"/>
                              <w:szCs w:val="17"/>
                            </w:rPr>
                            <w:t xml:space="preserve"> </w:t>
                          </w:r>
                          <w:r>
                            <w:rPr>
                              <w:rFonts w:ascii="Times New Roman" w:eastAsia="Times New Roman" w:hAnsi="Times New Roman" w:cs="Times New Roman"/>
                              <w:b/>
                              <w:bCs/>
                              <w:w w:val="105"/>
                              <w:sz w:val="17"/>
                              <w:szCs w:val="17"/>
                            </w:rPr>
                            <w:t>–</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Access</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rights</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vs.</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custody</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rights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6E42C" id="_x0000_t202" coordsize="21600,21600" o:spt="202" path="m0,0l0,21600,21600,21600,21600,0xe">
              <v:stroke joinstyle="miter"/>
              <v:path gradientshapeok="t" o:connecttype="rect"/>
            </v:shapetype>
            <v:shape id="Text_x0020_Box_x0020_2" o:spid="_x0000_s1027" type="#_x0000_t202" style="position:absolute;margin-left:89pt;margin-top:731.6pt;width:260.85pt;height:10.9pt;z-index:-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" filled="f" stroked="f">
              <v:textbox inset="0,0,0,0">
                <w:txbxContent>
                  <w:p w14:paraId="36C12D1C" w14:textId="77777777" w:rsidR="003A6FB8" w:rsidRDefault="001E2371">
                    <w:pPr>
                      <w:spacing w:line="188" w:lineRule="exact"/>
                      <w:ind w:left="20"/>
                      <w:rPr>
                        <w:rFonts w:ascii="Times New Roman" w:eastAsia="Times New Roman" w:hAnsi="Times New Roman" w:cs="Times New Roman"/>
                        <w:sz w:val="17"/>
                        <w:szCs w:val="17"/>
                      </w:rPr>
                    </w:pPr>
                    <w:r>
                      <w:rPr>
                        <w:rFonts w:ascii="Times New Roman" w:eastAsia="Times New Roman" w:hAnsi="Times New Roman" w:cs="Times New Roman"/>
                        <w:b/>
                        <w:bCs/>
                        <w:w w:val="105"/>
                        <w:sz w:val="17"/>
                        <w:szCs w:val="17"/>
                      </w:rPr>
                      <w:t>The</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1980</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Hague</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Convention</w:t>
                    </w:r>
                    <w:r>
                      <w:rPr>
                        <w:rFonts w:ascii="Times New Roman" w:eastAsia="Times New Roman" w:hAnsi="Times New Roman" w:cs="Times New Roman"/>
                        <w:b/>
                        <w:bCs/>
                        <w:spacing w:val="-10"/>
                        <w:w w:val="105"/>
                        <w:sz w:val="17"/>
                        <w:szCs w:val="17"/>
                      </w:rPr>
                      <w:t xml:space="preserve"> </w:t>
                    </w:r>
                    <w:r>
                      <w:rPr>
                        <w:rFonts w:ascii="Times New Roman" w:eastAsia="Times New Roman" w:hAnsi="Times New Roman" w:cs="Times New Roman"/>
                        <w:b/>
                        <w:bCs/>
                        <w:w w:val="105"/>
                        <w:sz w:val="17"/>
                        <w:szCs w:val="17"/>
                      </w:rPr>
                      <w:t>–</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FAQ</w:t>
                    </w:r>
                    <w:r>
                      <w:rPr>
                        <w:rFonts w:ascii="Times New Roman" w:eastAsia="Times New Roman" w:hAnsi="Times New Roman" w:cs="Times New Roman"/>
                        <w:b/>
                        <w:bCs/>
                        <w:spacing w:val="-10"/>
                        <w:w w:val="105"/>
                        <w:sz w:val="17"/>
                        <w:szCs w:val="17"/>
                      </w:rPr>
                      <w:t xml:space="preserve"> </w:t>
                    </w:r>
                    <w:r>
                      <w:rPr>
                        <w:rFonts w:ascii="Times New Roman" w:eastAsia="Times New Roman" w:hAnsi="Times New Roman" w:cs="Times New Roman"/>
                        <w:b/>
                        <w:bCs/>
                        <w:w w:val="105"/>
                        <w:sz w:val="17"/>
                        <w:szCs w:val="17"/>
                      </w:rPr>
                      <w:t>–</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Access</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rights</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vs.</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custody</w:t>
                    </w:r>
                    <w:r>
                      <w:rPr>
                        <w:rFonts w:ascii="Times New Roman" w:eastAsia="Times New Roman" w:hAnsi="Times New Roman" w:cs="Times New Roman"/>
                        <w:b/>
                        <w:bCs/>
                        <w:spacing w:val="-11"/>
                        <w:w w:val="105"/>
                        <w:sz w:val="17"/>
                        <w:szCs w:val="17"/>
                      </w:rPr>
                      <w:t xml:space="preserve"> </w:t>
                    </w:r>
                    <w:r>
                      <w:rPr>
                        <w:rFonts w:ascii="Times New Roman" w:eastAsia="Times New Roman" w:hAnsi="Times New Roman" w:cs="Times New Roman"/>
                        <w:b/>
                        <w:bCs/>
                        <w:w w:val="105"/>
                        <w:sz w:val="17"/>
                        <w:szCs w:val="17"/>
                      </w:rPr>
                      <w:t>rights</w:t>
                    </w:r>
                  </w:p>
                </w:txbxContent>
              </v:textbox>
              <w10:wrap anchorx="page" anchory="page"/>
            </v:shape>
          </w:pict>
        </mc:Fallback>
      </mc:AlternateContent>
    </w:r>
    <w:r>
      <w:rPr>
        <w:noProof/>
      </w:rPr>
      <mc:AlternateContent>
        <mc:Choice Requires="wps">
          <w:drawing>
            <wp:anchor distT="0" distB="0" distL="114300" distR="114300" simplePos="0" relativeHeight="503313272" behindDoc="1" locked="0" layoutInCell="1" allowOverlap="1" wp14:anchorId="72BC5AF3" wp14:editId="602B11CB">
              <wp:simplePos x="0" y="0"/>
              <wp:positionH relativeFrom="page">
                <wp:posOffset>6548755</wp:posOffset>
              </wp:positionH>
              <wp:positionV relativeFrom="page">
                <wp:posOffset>9291955</wp:posOffset>
              </wp:positionV>
              <wp:extent cx="105410" cy="138430"/>
              <wp:effectExtent l="0" t="0" r="6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30FAF" w14:textId="77777777" w:rsidR="003A6FB8" w:rsidRDefault="001E2371">
                          <w:pPr>
                            <w:spacing w:line="187" w:lineRule="exact"/>
                            <w:ind w:left="40"/>
                            <w:rPr>
                              <w:rFonts w:ascii="Times New Roman" w:eastAsia="Times New Roman" w:hAnsi="Times New Roman" w:cs="Times New Roman"/>
                              <w:sz w:val="17"/>
                              <w:szCs w:val="17"/>
                            </w:rPr>
                          </w:pPr>
                          <w:r>
                            <w:fldChar w:fldCharType="begin"/>
                          </w:r>
                          <w:r>
                            <w:rPr>
                              <w:rFonts w:ascii="Times New Roman"/>
                              <w:sz w:val="17"/>
                            </w:rPr>
                            <w:instrText xml:space="preserve"> PAGE </w:instrText>
                          </w:r>
                          <w:r>
                            <w:fldChar w:fldCharType="separate"/>
                          </w:r>
                          <w:r w:rsidR="00376816">
                            <w:rPr>
                              <w:rFonts w:ascii="Times New Roman"/>
                              <w:noProof/>
                              <w:sz w:val="17"/>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C5AF3" id="Text_x0020_Box_x0020_1" o:spid="_x0000_s1028" type="#_x0000_t202" style="position:absolute;margin-left:515.65pt;margin-top:731.65pt;width:8.3pt;height:10.9pt;z-index:-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" filled="f" stroked="f">
              <v:textbox inset="0,0,0,0">
                <w:txbxContent>
                  <w:p w14:paraId="27730FAF" w14:textId="77777777" w:rsidR="003A6FB8" w:rsidRDefault="001E2371">
                    <w:pPr>
                      <w:spacing w:line="187" w:lineRule="exact"/>
                      <w:ind w:left="40"/>
                      <w:rPr>
                        <w:rFonts w:ascii="Times New Roman" w:eastAsia="Times New Roman" w:hAnsi="Times New Roman" w:cs="Times New Roman"/>
                        <w:sz w:val="17"/>
                        <w:szCs w:val="17"/>
                      </w:rPr>
                    </w:pPr>
                    <w:r>
                      <w:fldChar w:fldCharType="begin"/>
                    </w:r>
                    <w:r>
                      <w:rPr>
                        <w:rFonts w:ascii="Times New Roman"/>
                        <w:sz w:val="17"/>
                      </w:rPr>
                      <w:instrText xml:space="preserve"> PAGE </w:instrText>
                    </w:r>
                    <w:r>
                      <w:fldChar w:fldCharType="separate"/>
                    </w:r>
                    <w:r w:rsidR="00376816">
                      <w:rPr>
                        <w:rFonts w:ascii="Times New Roman"/>
                        <w:noProof/>
                        <w:sz w:val="17"/>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D9FF1" w14:textId="77777777" w:rsidR="003F48AD" w:rsidRDefault="003F48AD">
      <w:r>
        <w:separator/>
      </w:r>
    </w:p>
  </w:footnote>
  <w:footnote w:type="continuationSeparator" w:id="0">
    <w:p w14:paraId="34DCEF0F" w14:textId="77777777" w:rsidR="003F48AD" w:rsidRDefault="003F48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C25EE" w14:textId="447EDA30" w:rsidR="003A6FB8" w:rsidRDefault="00FC5D22">
    <w:pPr>
      <w:spacing w:line="14" w:lineRule="auto"/>
      <w:rPr>
        <w:sz w:val="20"/>
        <w:szCs w:val="20"/>
      </w:rPr>
    </w:pPr>
    <w:r>
      <w:rPr>
        <w:noProof/>
      </w:rPr>
      <mc:AlternateContent>
        <mc:Choice Requires="wps">
          <w:drawing>
            <wp:anchor distT="0" distB="0" distL="114300" distR="114300" simplePos="0" relativeHeight="503313224" behindDoc="1" locked="0" layoutInCell="1" allowOverlap="1" wp14:anchorId="13CB415A" wp14:editId="52AFFCB7">
              <wp:simplePos x="0" y="0"/>
              <wp:positionH relativeFrom="page">
                <wp:posOffset>1130300</wp:posOffset>
              </wp:positionH>
              <wp:positionV relativeFrom="page">
                <wp:posOffset>647065</wp:posOffset>
              </wp:positionV>
              <wp:extent cx="59055" cy="177800"/>
              <wp:effectExtent l="0" t="0" r="444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4ABA8" w14:textId="77777777" w:rsidR="003A6FB8" w:rsidRDefault="001E2371">
                          <w:pPr>
                            <w:pStyle w:val="BodyText"/>
                            <w:spacing w:line="265" w:lineRule="exact"/>
                            <w:ind w:left="20"/>
                            <w:rPr>
                              <w:rFonts w:ascii="Arial" w:eastAsia="Arial" w:hAnsi="Arial" w:cs="Arial"/>
                            </w:rPr>
                          </w:pPr>
                          <w:r>
                            <w:rPr>
                              <w:rFonts w:ascii="Arial"/>
                              <w:w w:val="7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B415A" id="_x0000_t202" coordsize="21600,21600" o:spt="202" path="m0,0l0,21600,21600,21600,21600,0xe">
              <v:stroke joinstyle="miter"/>
              <v:path gradientshapeok="t" o:connecttype="rect"/>
            </v:shapetype>
            <v:shape id="Text_x0020_Box_x0020_3" o:spid="_x0000_s1026" type="#_x0000_t202" style="position:absolute;margin-left:89pt;margin-top:50.95pt;width:4.65pt;height:14pt;z-index:-3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" filled="f" stroked="f">
              <v:textbox inset="0,0,0,0">
                <w:txbxContent>
                  <w:p w14:paraId="1C34ABA8" w14:textId="77777777" w:rsidR="003A6FB8" w:rsidRDefault="001E2371">
                    <w:pPr>
                      <w:pStyle w:val="BodyText"/>
                      <w:spacing w:line="265" w:lineRule="exact"/>
                      <w:ind w:left="20"/>
                      <w:rPr>
                        <w:rFonts w:ascii="Arial" w:eastAsia="Arial" w:hAnsi="Arial" w:cs="Arial"/>
                      </w:rPr>
                    </w:pPr>
                    <w:r>
                      <w:rPr>
                        <w:rFonts w:ascii="Arial"/>
                        <w:w w:val="79"/>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F16AD"/>
    <w:multiLevelType w:val="hybridMultilevel"/>
    <w:tmpl w:val="4BAEB2A6"/>
    <w:lvl w:ilvl="0" w:tplc="1C36C6BC">
      <w:start w:val="1"/>
      <w:numFmt w:val="decimal"/>
      <w:lvlText w:val="%1."/>
      <w:lvlJc w:val="left"/>
      <w:pPr>
        <w:ind w:left="100" w:hanging="187"/>
        <w:jc w:val="left"/>
      </w:pPr>
      <w:rPr>
        <w:rFonts w:ascii="Times New Roman" w:eastAsia="Times New Roman" w:hAnsi="Times New Roman" w:hint="default"/>
        <w:spacing w:val="0"/>
        <w:w w:val="94"/>
        <w:sz w:val="19"/>
        <w:szCs w:val="19"/>
      </w:rPr>
    </w:lvl>
    <w:lvl w:ilvl="1" w:tplc="C058A166">
      <w:start w:val="1"/>
      <w:numFmt w:val="bullet"/>
      <w:lvlText w:val="•"/>
      <w:lvlJc w:val="left"/>
      <w:pPr>
        <w:ind w:left="976" w:hanging="187"/>
      </w:pPr>
      <w:rPr>
        <w:rFonts w:hint="default"/>
      </w:rPr>
    </w:lvl>
    <w:lvl w:ilvl="2" w:tplc="733054C0">
      <w:start w:val="1"/>
      <w:numFmt w:val="bullet"/>
      <w:lvlText w:val="•"/>
      <w:lvlJc w:val="left"/>
      <w:pPr>
        <w:ind w:left="1852" w:hanging="187"/>
      </w:pPr>
      <w:rPr>
        <w:rFonts w:hint="default"/>
      </w:rPr>
    </w:lvl>
    <w:lvl w:ilvl="3" w:tplc="B882F270">
      <w:start w:val="1"/>
      <w:numFmt w:val="bullet"/>
      <w:lvlText w:val="•"/>
      <w:lvlJc w:val="left"/>
      <w:pPr>
        <w:ind w:left="2728" w:hanging="187"/>
      </w:pPr>
      <w:rPr>
        <w:rFonts w:hint="default"/>
      </w:rPr>
    </w:lvl>
    <w:lvl w:ilvl="4" w:tplc="4ED80956">
      <w:start w:val="1"/>
      <w:numFmt w:val="bullet"/>
      <w:lvlText w:val="•"/>
      <w:lvlJc w:val="left"/>
      <w:pPr>
        <w:ind w:left="3604" w:hanging="187"/>
      </w:pPr>
      <w:rPr>
        <w:rFonts w:hint="default"/>
      </w:rPr>
    </w:lvl>
    <w:lvl w:ilvl="5" w:tplc="AA9CB31C">
      <w:start w:val="1"/>
      <w:numFmt w:val="bullet"/>
      <w:lvlText w:val="•"/>
      <w:lvlJc w:val="left"/>
      <w:pPr>
        <w:ind w:left="4480" w:hanging="187"/>
      </w:pPr>
      <w:rPr>
        <w:rFonts w:hint="default"/>
      </w:rPr>
    </w:lvl>
    <w:lvl w:ilvl="6" w:tplc="D22EE788">
      <w:start w:val="1"/>
      <w:numFmt w:val="bullet"/>
      <w:lvlText w:val="•"/>
      <w:lvlJc w:val="left"/>
      <w:pPr>
        <w:ind w:left="5356" w:hanging="187"/>
      </w:pPr>
      <w:rPr>
        <w:rFonts w:hint="default"/>
      </w:rPr>
    </w:lvl>
    <w:lvl w:ilvl="7" w:tplc="DE4C8828">
      <w:start w:val="1"/>
      <w:numFmt w:val="bullet"/>
      <w:lvlText w:val="•"/>
      <w:lvlJc w:val="left"/>
      <w:pPr>
        <w:ind w:left="6232" w:hanging="187"/>
      </w:pPr>
      <w:rPr>
        <w:rFonts w:hint="default"/>
      </w:rPr>
    </w:lvl>
    <w:lvl w:ilvl="8" w:tplc="CDAA6A7E">
      <w:start w:val="1"/>
      <w:numFmt w:val="bullet"/>
      <w:lvlText w:val="•"/>
      <w:lvlJc w:val="left"/>
      <w:pPr>
        <w:ind w:left="7108" w:hanging="187"/>
      </w:pPr>
      <w:rPr>
        <w:rFonts w:hint="default"/>
      </w:rPr>
    </w:lvl>
  </w:abstractNum>
  <w:abstractNum w:abstractNumId="1">
    <w:nsid w:val="78A94924"/>
    <w:multiLevelType w:val="hybridMultilevel"/>
    <w:tmpl w:val="4BAEB2A6"/>
    <w:lvl w:ilvl="0" w:tplc="1C36C6BC">
      <w:start w:val="1"/>
      <w:numFmt w:val="decimal"/>
      <w:lvlText w:val="%1."/>
      <w:lvlJc w:val="left"/>
      <w:pPr>
        <w:ind w:left="100" w:hanging="187"/>
        <w:jc w:val="left"/>
      </w:pPr>
      <w:rPr>
        <w:rFonts w:ascii="Times New Roman" w:eastAsia="Times New Roman" w:hAnsi="Times New Roman" w:hint="default"/>
        <w:spacing w:val="0"/>
        <w:w w:val="94"/>
        <w:sz w:val="19"/>
        <w:szCs w:val="19"/>
      </w:rPr>
    </w:lvl>
    <w:lvl w:ilvl="1" w:tplc="C058A166">
      <w:start w:val="1"/>
      <w:numFmt w:val="bullet"/>
      <w:lvlText w:val="•"/>
      <w:lvlJc w:val="left"/>
      <w:pPr>
        <w:ind w:left="976" w:hanging="187"/>
      </w:pPr>
      <w:rPr>
        <w:rFonts w:hint="default"/>
      </w:rPr>
    </w:lvl>
    <w:lvl w:ilvl="2" w:tplc="733054C0">
      <w:start w:val="1"/>
      <w:numFmt w:val="bullet"/>
      <w:lvlText w:val="•"/>
      <w:lvlJc w:val="left"/>
      <w:pPr>
        <w:ind w:left="1852" w:hanging="187"/>
      </w:pPr>
      <w:rPr>
        <w:rFonts w:hint="default"/>
      </w:rPr>
    </w:lvl>
    <w:lvl w:ilvl="3" w:tplc="B882F270">
      <w:start w:val="1"/>
      <w:numFmt w:val="bullet"/>
      <w:lvlText w:val="•"/>
      <w:lvlJc w:val="left"/>
      <w:pPr>
        <w:ind w:left="2728" w:hanging="187"/>
      </w:pPr>
      <w:rPr>
        <w:rFonts w:hint="default"/>
      </w:rPr>
    </w:lvl>
    <w:lvl w:ilvl="4" w:tplc="4ED80956">
      <w:start w:val="1"/>
      <w:numFmt w:val="bullet"/>
      <w:lvlText w:val="•"/>
      <w:lvlJc w:val="left"/>
      <w:pPr>
        <w:ind w:left="3604" w:hanging="187"/>
      </w:pPr>
      <w:rPr>
        <w:rFonts w:hint="default"/>
      </w:rPr>
    </w:lvl>
    <w:lvl w:ilvl="5" w:tplc="AA9CB31C">
      <w:start w:val="1"/>
      <w:numFmt w:val="bullet"/>
      <w:lvlText w:val="•"/>
      <w:lvlJc w:val="left"/>
      <w:pPr>
        <w:ind w:left="4480" w:hanging="187"/>
      </w:pPr>
      <w:rPr>
        <w:rFonts w:hint="default"/>
      </w:rPr>
    </w:lvl>
    <w:lvl w:ilvl="6" w:tplc="D22EE788">
      <w:start w:val="1"/>
      <w:numFmt w:val="bullet"/>
      <w:lvlText w:val="•"/>
      <w:lvlJc w:val="left"/>
      <w:pPr>
        <w:ind w:left="5356" w:hanging="187"/>
      </w:pPr>
      <w:rPr>
        <w:rFonts w:hint="default"/>
      </w:rPr>
    </w:lvl>
    <w:lvl w:ilvl="7" w:tplc="DE4C8828">
      <w:start w:val="1"/>
      <w:numFmt w:val="bullet"/>
      <w:lvlText w:val="•"/>
      <w:lvlJc w:val="left"/>
      <w:pPr>
        <w:ind w:left="6232" w:hanging="187"/>
      </w:pPr>
      <w:rPr>
        <w:rFonts w:hint="default"/>
      </w:rPr>
    </w:lvl>
    <w:lvl w:ilvl="8" w:tplc="CDAA6A7E">
      <w:start w:val="1"/>
      <w:numFmt w:val="bullet"/>
      <w:lvlText w:val="•"/>
      <w:lvlJc w:val="left"/>
      <w:pPr>
        <w:ind w:left="7108" w:hanging="18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B8"/>
    <w:rsid w:val="001E2371"/>
    <w:rsid w:val="00224843"/>
    <w:rsid w:val="00376816"/>
    <w:rsid w:val="003A6FB8"/>
    <w:rsid w:val="003F48AD"/>
    <w:rsid w:val="00615AD0"/>
    <w:rsid w:val="00AE0236"/>
    <w:rsid w:val="00FB7283"/>
    <w:rsid w:val="00F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C1CF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EndnoteText">
    <w:name w:val="endnote text"/>
    <w:basedOn w:val="Normal"/>
    <w:link w:val="EndnoteTextChar"/>
    <w:uiPriority w:val="99"/>
    <w:unhideWhenUsed/>
    <w:rsid w:val="00224843"/>
    <w:rPr>
      <w:sz w:val="24"/>
      <w:szCs w:val="24"/>
    </w:rPr>
  </w:style>
  <w:style w:type="character" w:customStyle="1" w:styleId="EndnoteTextChar">
    <w:name w:val="Endnote Text Char"/>
    <w:basedOn w:val="DefaultParagraphFont"/>
    <w:link w:val="EndnoteText"/>
    <w:uiPriority w:val="99"/>
    <w:rsid w:val="00224843"/>
    <w:rPr>
      <w:sz w:val="24"/>
      <w:szCs w:val="24"/>
    </w:rPr>
  </w:style>
  <w:style w:type="character" w:styleId="EndnoteReference">
    <w:name w:val="endnote reference"/>
    <w:basedOn w:val="DefaultParagraphFont"/>
    <w:uiPriority w:val="99"/>
    <w:unhideWhenUsed/>
    <w:rsid w:val="00224843"/>
    <w:rPr>
      <w:vertAlign w:val="superscript"/>
    </w:rPr>
  </w:style>
  <w:style w:type="paragraph" w:styleId="Header">
    <w:name w:val="header"/>
    <w:basedOn w:val="Normal"/>
    <w:link w:val="HeaderChar"/>
    <w:uiPriority w:val="99"/>
    <w:unhideWhenUsed/>
    <w:rsid w:val="00376816"/>
    <w:pPr>
      <w:tabs>
        <w:tab w:val="center" w:pos="4680"/>
        <w:tab w:val="right" w:pos="9360"/>
      </w:tabs>
    </w:pPr>
  </w:style>
  <w:style w:type="character" w:customStyle="1" w:styleId="HeaderChar">
    <w:name w:val="Header Char"/>
    <w:basedOn w:val="DefaultParagraphFont"/>
    <w:link w:val="Header"/>
    <w:uiPriority w:val="99"/>
    <w:rsid w:val="00376816"/>
  </w:style>
  <w:style w:type="paragraph" w:styleId="Footer">
    <w:name w:val="footer"/>
    <w:basedOn w:val="Normal"/>
    <w:link w:val="FooterChar"/>
    <w:uiPriority w:val="99"/>
    <w:unhideWhenUsed/>
    <w:rsid w:val="00376816"/>
    <w:pPr>
      <w:tabs>
        <w:tab w:val="center" w:pos="4680"/>
        <w:tab w:val="right" w:pos="9360"/>
      </w:tabs>
    </w:pPr>
  </w:style>
  <w:style w:type="character" w:customStyle="1" w:styleId="FooterChar">
    <w:name w:val="Footer Char"/>
    <w:basedOn w:val="DefaultParagraphFont"/>
    <w:link w:val="Footer"/>
    <w:uiPriority w:val="99"/>
    <w:rsid w:val="0037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44E628-D61B-5147-AC7F-3E1D0539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838</Words>
  <Characters>4781</Characters>
  <Application>Microsoft Macintosh Word</Application>
  <DocSecurity>0</DocSecurity>
  <Lines>39</Lines>
  <Paragraphs>11</Paragraphs>
  <ScaleCrop>false</ScaleCrop>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2016-03-13T22:49:00Z</dcterms:created>
  <dcterms:modified xsi:type="dcterms:W3CDTF">2016-03-13T23:00:00Z</dcterms:modified>
</cp:coreProperties>
</file>